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4E01" w:rsidRDefault="00961823">
      <w:pPr>
        <w:spacing w:after="0" w:line="240" w:lineRule="auto"/>
        <w:rPr>
          <w:color w:val="5B9BD5"/>
          <w:sz w:val="52"/>
          <w:szCs w:val="52"/>
        </w:rPr>
      </w:pPr>
      <w:bookmarkStart w:id="0" w:name="h.gjdgxs" w:colFirst="0" w:colLast="0"/>
      <w:bookmarkStart w:id="1" w:name="_GoBack"/>
      <w:bookmarkEnd w:id="0"/>
      <w:bookmarkEnd w:id="1"/>
      <w:r>
        <w:rPr>
          <w:color w:val="5B9BD5"/>
          <w:sz w:val="52"/>
          <w:szCs w:val="52"/>
        </w:rPr>
        <w:tab/>
      </w:r>
      <w:r>
        <w:rPr>
          <w:color w:val="5B9BD5"/>
          <w:sz w:val="52"/>
          <w:szCs w:val="52"/>
        </w:rPr>
        <w:tab/>
      </w:r>
      <w:r>
        <w:rPr>
          <w:color w:val="5B9BD5"/>
          <w:sz w:val="52"/>
          <w:szCs w:val="52"/>
        </w:rPr>
        <w:tab/>
      </w:r>
      <w:r>
        <w:rPr>
          <w:color w:val="5B9BD5"/>
          <w:sz w:val="52"/>
          <w:szCs w:val="52"/>
        </w:rPr>
        <w:tab/>
      </w:r>
    </w:p>
    <w:p w:rsidR="007004E8" w:rsidRPr="00DB0AD4" w:rsidRDefault="00961823" w:rsidP="00754E01">
      <w:pPr>
        <w:spacing w:after="0" w:line="240" w:lineRule="auto"/>
        <w:jc w:val="center"/>
        <w:rPr>
          <w:lang w:val="fi-FI"/>
        </w:rPr>
      </w:pPr>
      <w:r w:rsidRPr="00DB0AD4">
        <w:rPr>
          <w:color w:val="5B9BD5"/>
          <w:sz w:val="52"/>
          <w:szCs w:val="52"/>
          <w:lang w:val="fi-FI"/>
        </w:rPr>
        <w:t>Ravintoarvot</w:t>
      </w:r>
    </w:p>
    <w:p w:rsidR="007004E8" w:rsidRPr="00DB0AD4" w:rsidRDefault="007004E8">
      <w:pPr>
        <w:spacing w:after="0" w:line="288" w:lineRule="auto"/>
        <w:jc w:val="both"/>
        <w:rPr>
          <w:lang w:val="fi-FI"/>
        </w:rPr>
      </w:pPr>
    </w:p>
    <w:p w:rsidR="007004E8" w:rsidRPr="00DB0AD4" w:rsidRDefault="00961823">
      <w:pPr>
        <w:spacing w:after="0" w:line="288" w:lineRule="auto"/>
        <w:jc w:val="both"/>
        <w:rPr>
          <w:lang w:val="fi-FI"/>
        </w:rPr>
      </w:pPr>
      <w:r>
        <w:rPr>
          <w:noProof/>
          <w:lang w:val="fi-FI" w:eastAsia="fi-FI"/>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25400</wp:posOffset>
                </wp:positionV>
                <wp:extent cx="5753100" cy="1832258"/>
                <wp:effectExtent l="0" t="0" r="0" b="0"/>
                <wp:wrapNone/>
                <wp:docPr id="5" name="Rectangle 5"/>
                <wp:cNvGraphicFramePr/>
                <a:graphic xmlns:a="http://schemas.openxmlformats.org/drawingml/2006/main">
                  <a:graphicData uri="http://schemas.microsoft.com/office/word/2010/wordprocessingShape">
                    <wps:wsp>
                      <wps:cNvSpPr/>
                      <wps:spPr>
                        <a:xfrm>
                          <a:off x="2469450" y="3203756"/>
                          <a:ext cx="5753100" cy="1817400"/>
                        </a:xfrm>
                        <a:prstGeom prst="rect">
                          <a:avLst/>
                        </a:prstGeom>
                        <a:noFill/>
                        <a:ln w="9525" cap="flat" cmpd="sng">
                          <a:solidFill>
                            <a:schemeClr val="accent1"/>
                          </a:solidFill>
                          <a:prstDash val="solid"/>
                          <a:round/>
                          <a:headEnd type="none" w="med" len="med"/>
                          <a:tailEnd type="none" w="med" len="med"/>
                        </a:ln>
                      </wps:spPr>
                      <wps:txbx>
                        <w:txbxContent>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Kohderyhmä:</w:t>
                            </w:r>
                            <w:r w:rsidRPr="00DB0AD4">
                              <w:rPr>
                                <w:rFonts w:ascii="Times New Roman" w:eastAsia="Times New Roman" w:hAnsi="Times New Roman" w:cs="Times New Roman"/>
                                <w:sz w:val="24"/>
                                <w:lang w:val="fi-FI"/>
                              </w:rPr>
                              <w:t xml:space="preserve"> 7. luokka, kymmenpotenssimuotojen käsittelyn yhteydessä</w:t>
                            </w:r>
                          </w:p>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Esitiedot:</w:t>
                            </w:r>
                            <w:r w:rsidRPr="00DB0AD4">
                              <w:rPr>
                                <w:rFonts w:ascii="Times New Roman" w:eastAsia="Times New Roman" w:hAnsi="Times New Roman" w:cs="Times New Roman"/>
                                <w:sz w:val="24"/>
                                <w:lang w:val="fi-FI"/>
                              </w:rPr>
                              <w:t xml:space="preserve"> Prosenttilaskenta (alkeellinen)</w:t>
                            </w:r>
                          </w:p>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Taustalla oleva matematiikka:</w:t>
                            </w:r>
                            <w:r w:rsidRPr="00DB0AD4">
                              <w:rPr>
                                <w:rFonts w:ascii="Times New Roman" w:eastAsia="Times New Roman" w:hAnsi="Times New Roman" w:cs="Times New Roman"/>
                                <w:sz w:val="24"/>
                                <w:lang w:val="fi-FI"/>
                              </w:rPr>
                              <w:t xml:space="preserve"> Kymmenpotenssit, kerrannaisyksiköt, prosenttilaskenta, taulukkojen tulkinta</w:t>
                            </w:r>
                          </w:p>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Ajankäyttö:</w:t>
                            </w:r>
                            <w:r w:rsidRPr="00DB0AD4">
                              <w:rPr>
                                <w:rFonts w:ascii="Times New Roman" w:eastAsia="Times New Roman" w:hAnsi="Times New Roman" w:cs="Times New Roman"/>
                                <w:sz w:val="24"/>
                                <w:lang w:val="fi-FI"/>
                              </w:rPr>
                              <w:t xml:space="preserve"> Tutustuminen kerrannaisyksiköihin ja projektin esittely: 45 min, projektin suorittaminen: 2 ∙ 45 min, tulosten esittely: 45 min</w:t>
                            </w:r>
                          </w:p>
                          <w:p w:rsidR="007004E8" w:rsidRDefault="00961823">
                            <w:pPr>
                              <w:spacing w:after="0" w:line="288" w:lineRule="auto"/>
                              <w:jc w:val="both"/>
                              <w:textDirection w:val="btLr"/>
                            </w:pPr>
                            <w:proofErr w:type="spellStart"/>
                            <w:r>
                              <w:rPr>
                                <w:rFonts w:ascii="Times New Roman" w:eastAsia="Times New Roman" w:hAnsi="Times New Roman" w:cs="Times New Roman"/>
                                <w:b/>
                                <w:sz w:val="24"/>
                              </w:rPr>
                              <w:t>Opetustilat</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Oma </w:t>
                            </w:r>
                            <w:proofErr w:type="spellStart"/>
                            <w:r>
                              <w:rPr>
                                <w:rFonts w:ascii="Times New Roman" w:eastAsia="Times New Roman" w:hAnsi="Times New Roman" w:cs="Times New Roman"/>
                                <w:sz w:val="24"/>
                              </w:rPr>
                              <w:t>luokka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tietokoneluokka</w:t>
                            </w:r>
                            <w:proofErr w:type="spellEnd"/>
                          </w:p>
                        </w:txbxContent>
                      </wps:txbx>
                      <wps:bodyPr lIns="91425" tIns="45700" rIns="91425" bIns="45700" anchor="t" anchorCtr="0"/>
                    </wps:wsp>
                  </a:graphicData>
                </a:graphic>
              </wp:anchor>
            </w:drawing>
          </mc:Choice>
          <mc:Fallback>
            <w:pict>
              <v:rect id="Rectangle 5" o:spid="_x0000_s1026" style="position:absolute;left:0;text-align:left;margin-left:0;margin-top:2pt;width:453pt;height:144.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" o:allowincell="f" filled="f" strokecolor="#5b9bd5 [3204]">
                <v:stroke joinstyle="round"/>
                <v:textbox inset="2.53958mm,1.2694mm,2.53958mm,1.2694mm">
                  <w:txbxContent>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Kohderyhmä:</w:t>
                      </w:r>
                      <w:r w:rsidRPr="00DB0AD4">
                        <w:rPr>
                          <w:rFonts w:ascii="Times New Roman" w:eastAsia="Times New Roman" w:hAnsi="Times New Roman" w:cs="Times New Roman"/>
                          <w:sz w:val="24"/>
                          <w:lang w:val="fi-FI"/>
                        </w:rPr>
                        <w:t xml:space="preserve"> 7. luokka, kymmenpotenssimuotojen käsittelyn yhteydessä</w:t>
                      </w:r>
                    </w:p>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Esitiedot:</w:t>
                      </w:r>
                      <w:r w:rsidRPr="00DB0AD4">
                        <w:rPr>
                          <w:rFonts w:ascii="Times New Roman" w:eastAsia="Times New Roman" w:hAnsi="Times New Roman" w:cs="Times New Roman"/>
                          <w:sz w:val="24"/>
                          <w:lang w:val="fi-FI"/>
                        </w:rPr>
                        <w:t xml:space="preserve"> Prosenttilaskenta (alkeellinen)</w:t>
                      </w:r>
                    </w:p>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Taustalla oleva matematiikka:</w:t>
                      </w:r>
                      <w:r w:rsidRPr="00DB0AD4">
                        <w:rPr>
                          <w:rFonts w:ascii="Times New Roman" w:eastAsia="Times New Roman" w:hAnsi="Times New Roman" w:cs="Times New Roman"/>
                          <w:sz w:val="24"/>
                          <w:lang w:val="fi-FI"/>
                        </w:rPr>
                        <w:t xml:space="preserve"> Kymmenpotenssit, kerrannaisyksiköt, prosenttilaskenta, taulukkojen tulkinta</w:t>
                      </w:r>
                    </w:p>
                    <w:p w:rsidR="007004E8" w:rsidRPr="00DB0AD4" w:rsidRDefault="00961823">
                      <w:pPr>
                        <w:spacing w:after="0" w:line="288" w:lineRule="auto"/>
                        <w:jc w:val="both"/>
                        <w:textDirection w:val="btLr"/>
                        <w:rPr>
                          <w:lang w:val="fi-FI"/>
                        </w:rPr>
                      </w:pPr>
                      <w:r w:rsidRPr="00DB0AD4">
                        <w:rPr>
                          <w:rFonts w:ascii="Times New Roman" w:eastAsia="Times New Roman" w:hAnsi="Times New Roman" w:cs="Times New Roman"/>
                          <w:b/>
                          <w:sz w:val="24"/>
                          <w:lang w:val="fi-FI"/>
                        </w:rPr>
                        <w:t>Ajankäyttö:</w:t>
                      </w:r>
                      <w:r w:rsidRPr="00DB0AD4">
                        <w:rPr>
                          <w:rFonts w:ascii="Times New Roman" w:eastAsia="Times New Roman" w:hAnsi="Times New Roman" w:cs="Times New Roman"/>
                          <w:sz w:val="24"/>
                          <w:lang w:val="fi-FI"/>
                        </w:rPr>
                        <w:t xml:space="preserve"> Tutustuminen kerrannaisyksiköihin ja projektin esittely: 45 min, projektin suorittaminen: 2 ∙ 45 min, tulosten esittely: 45 min</w:t>
                      </w:r>
                    </w:p>
                    <w:p w:rsidR="007004E8" w:rsidRDefault="00961823">
                      <w:pPr>
                        <w:spacing w:after="0" w:line="288" w:lineRule="auto"/>
                        <w:jc w:val="both"/>
                        <w:textDirection w:val="btLr"/>
                      </w:pPr>
                      <w:proofErr w:type="spellStart"/>
                      <w:r>
                        <w:rPr>
                          <w:rFonts w:ascii="Times New Roman" w:eastAsia="Times New Roman" w:hAnsi="Times New Roman" w:cs="Times New Roman"/>
                          <w:b/>
                          <w:sz w:val="24"/>
                        </w:rPr>
                        <w:t>Opetustilat</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Oma </w:t>
                      </w:r>
                      <w:proofErr w:type="spellStart"/>
                      <w:r>
                        <w:rPr>
                          <w:rFonts w:ascii="Times New Roman" w:eastAsia="Times New Roman" w:hAnsi="Times New Roman" w:cs="Times New Roman"/>
                          <w:sz w:val="24"/>
                        </w:rPr>
                        <w:t>luokka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tietokoneluokka</w:t>
                      </w:r>
                      <w:proofErr w:type="spellEnd"/>
                    </w:p>
                  </w:txbxContent>
                </v:textbox>
                <w10:wrap anchorx="margin"/>
              </v:rect>
            </w:pict>
          </mc:Fallback>
        </mc:AlternateContent>
      </w:r>
    </w:p>
    <w:p w:rsidR="007004E8" w:rsidRPr="00DB0AD4" w:rsidRDefault="007004E8">
      <w:pPr>
        <w:spacing w:after="0" w:line="288" w:lineRule="auto"/>
        <w:jc w:val="both"/>
        <w:rPr>
          <w:lang w:val="fi-FI"/>
        </w:rPr>
      </w:pPr>
    </w:p>
    <w:p w:rsidR="007004E8" w:rsidRPr="00DB0AD4" w:rsidRDefault="007004E8">
      <w:pPr>
        <w:spacing w:after="0" w:line="288" w:lineRule="auto"/>
        <w:jc w:val="both"/>
        <w:rPr>
          <w:lang w:val="fi-FI"/>
        </w:rPr>
      </w:pPr>
    </w:p>
    <w:p w:rsidR="007004E8" w:rsidRPr="00DB0AD4" w:rsidRDefault="007004E8">
      <w:pPr>
        <w:spacing w:after="0" w:line="288" w:lineRule="auto"/>
        <w:jc w:val="both"/>
        <w:rPr>
          <w:lang w:val="fi-FI"/>
        </w:rPr>
      </w:pPr>
    </w:p>
    <w:p w:rsidR="007004E8" w:rsidRPr="00DB0AD4" w:rsidRDefault="007004E8">
      <w:pPr>
        <w:spacing w:after="0" w:line="288" w:lineRule="auto"/>
        <w:jc w:val="both"/>
        <w:rPr>
          <w:lang w:val="fi-FI"/>
        </w:rPr>
      </w:pPr>
    </w:p>
    <w:p w:rsidR="007004E8" w:rsidRPr="00DB0AD4" w:rsidRDefault="007004E8">
      <w:pPr>
        <w:jc w:val="both"/>
        <w:rPr>
          <w:lang w:val="fi-FI"/>
        </w:rPr>
      </w:pPr>
    </w:p>
    <w:p w:rsidR="007004E8" w:rsidRPr="00DB0AD4" w:rsidRDefault="007004E8">
      <w:pPr>
        <w:spacing w:after="0" w:line="276" w:lineRule="auto"/>
        <w:jc w:val="both"/>
        <w:rPr>
          <w:lang w:val="fi-FI"/>
        </w:rPr>
      </w:pPr>
    </w:p>
    <w:p w:rsidR="007004E8" w:rsidRPr="00DB0AD4" w:rsidRDefault="007004E8">
      <w:pPr>
        <w:spacing w:after="0" w:line="276" w:lineRule="auto"/>
        <w:jc w:val="both"/>
        <w:rPr>
          <w:lang w:val="fi-FI"/>
        </w:rPr>
      </w:pPr>
    </w:p>
    <w:p w:rsidR="007004E8" w:rsidRPr="00DB0AD4" w:rsidRDefault="007004E8">
      <w:pPr>
        <w:spacing w:after="0" w:line="276" w:lineRule="auto"/>
        <w:jc w:val="both"/>
        <w:rPr>
          <w:lang w:val="fi-FI"/>
        </w:rPr>
      </w:pPr>
    </w:p>
    <w:p w:rsidR="007004E8" w:rsidRPr="00DB0AD4" w:rsidRDefault="007004E8">
      <w:pPr>
        <w:spacing w:after="0" w:line="276" w:lineRule="auto"/>
        <w:jc w:val="both"/>
        <w:rPr>
          <w:lang w:val="fi-FI"/>
        </w:rPr>
      </w:pPr>
    </w:p>
    <w:p w:rsidR="00754E01" w:rsidRPr="00DB0AD4" w:rsidRDefault="00961823">
      <w:pPr>
        <w:spacing w:after="0" w:line="276" w:lineRule="auto"/>
        <w:jc w:val="both"/>
        <w:rPr>
          <w:rFonts w:ascii="Times New Roman" w:eastAsia="Times New Roman" w:hAnsi="Times New Roman" w:cs="Times New Roman"/>
          <w:sz w:val="24"/>
          <w:szCs w:val="24"/>
          <w:lang w:val="fi-FI"/>
        </w:rPr>
      </w:pPr>
      <w:r w:rsidRPr="00DB0AD4">
        <w:rPr>
          <w:rFonts w:ascii="Times New Roman" w:eastAsia="Times New Roman" w:hAnsi="Times New Roman" w:cs="Times New Roman"/>
          <w:b/>
          <w:sz w:val="24"/>
          <w:szCs w:val="24"/>
          <w:lang w:val="fi-FI"/>
        </w:rPr>
        <w:t>Tavoitteet:</w:t>
      </w:r>
      <w:r w:rsidRPr="00DB0AD4">
        <w:rPr>
          <w:rFonts w:ascii="Times New Roman" w:eastAsia="Times New Roman" w:hAnsi="Times New Roman" w:cs="Times New Roman"/>
          <w:sz w:val="24"/>
          <w:szCs w:val="24"/>
          <w:lang w:val="fi-FI"/>
        </w:rPr>
        <w:t xml:space="preserve"> </w:t>
      </w:r>
    </w:p>
    <w:p w:rsidR="007004E8" w:rsidRPr="00DB0AD4" w:rsidRDefault="00961823">
      <w:pPr>
        <w:spacing w:after="0" w:line="288" w:lineRule="auto"/>
        <w:jc w:val="both"/>
        <w:rPr>
          <w:lang w:val="fi-FI"/>
        </w:rPr>
      </w:pPr>
      <w:r w:rsidRPr="00DB0AD4">
        <w:rPr>
          <w:rFonts w:ascii="Times New Roman" w:eastAsia="Times New Roman" w:hAnsi="Times New Roman" w:cs="Times New Roman"/>
          <w:sz w:val="24"/>
          <w:szCs w:val="24"/>
          <w:lang w:val="fi-FI"/>
        </w:rPr>
        <w:t xml:space="preserve">Projektin tavoitteena on harjoitella kymmenpotensseja ja tutustua kerrannaisyksiköihin (mg, </w:t>
      </w:r>
      <w:r>
        <w:rPr>
          <w:rFonts w:ascii="Times New Roman" w:eastAsia="Times New Roman" w:hAnsi="Times New Roman" w:cs="Times New Roman"/>
          <w:sz w:val="24"/>
          <w:szCs w:val="24"/>
        </w:rPr>
        <w:t>μ</w:t>
      </w:r>
      <w:r w:rsidRPr="00DB0AD4">
        <w:rPr>
          <w:rFonts w:ascii="Times New Roman" w:eastAsia="Times New Roman" w:hAnsi="Times New Roman" w:cs="Times New Roman"/>
          <w:sz w:val="24"/>
          <w:szCs w:val="24"/>
          <w:lang w:val="fi-FI"/>
        </w:rPr>
        <w:t>g, kcal, kJ). Lisäksi harjoitellaan prosenttilaskentaa ja arviointia. Oppilaat saavat myös valmiuksia ravintoarvojen tarkasteluun, mikäli he myöhemmin haluavat niitä omatoimisesti tarkastella.</w:t>
      </w:r>
    </w:p>
    <w:p w:rsidR="007004E8" w:rsidRPr="00DB0AD4" w:rsidRDefault="007004E8">
      <w:pPr>
        <w:spacing w:after="0" w:line="276" w:lineRule="auto"/>
        <w:jc w:val="both"/>
        <w:rPr>
          <w:lang w:val="fi-FI"/>
        </w:rPr>
      </w:pPr>
    </w:p>
    <w:p w:rsidR="00754E01" w:rsidRPr="00DB0AD4" w:rsidRDefault="00961823">
      <w:pPr>
        <w:spacing w:after="0" w:line="276" w:lineRule="auto"/>
        <w:jc w:val="both"/>
        <w:rPr>
          <w:rFonts w:ascii="Times New Roman" w:eastAsia="Times New Roman" w:hAnsi="Times New Roman" w:cs="Times New Roman"/>
          <w:b/>
          <w:sz w:val="24"/>
          <w:szCs w:val="24"/>
          <w:lang w:val="fi-FI"/>
        </w:rPr>
      </w:pPr>
      <w:r w:rsidRPr="00DB0AD4">
        <w:rPr>
          <w:rFonts w:ascii="Times New Roman" w:eastAsia="Times New Roman" w:hAnsi="Times New Roman" w:cs="Times New Roman"/>
          <w:b/>
          <w:sz w:val="24"/>
          <w:szCs w:val="24"/>
          <w:lang w:val="fi-FI"/>
        </w:rPr>
        <w:t>Kuvaus projektista:</w:t>
      </w:r>
    </w:p>
    <w:p w:rsidR="007004E8" w:rsidRPr="00DB0AD4" w:rsidRDefault="00961823">
      <w:pPr>
        <w:spacing w:after="200" w:line="276" w:lineRule="auto"/>
        <w:jc w:val="both"/>
        <w:rPr>
          <w:lang w:val="fi-FI"/>
        </w:rPr>
      </w:pPr>
      <w:r w:rsidRPr="00DB0AD4">
        <w:rPr>
          <w:rFonts w:ascii="Times New Roman" w:eastAsia="Times New Roman" w:hAnsi="Times New Roman" w:cs="Times New Roman"/>
          <w:sz w:val="24"/>
          <w:szCs w:val="24"/>
          <w:lang w:val="fi-FI"/>
        </w:rPr>
        <w:t>Projekti ajoittuu heti kymmenpotenssimuotojen käsittelyn jälkeen. Projekti jakautuu kolmeen osaan: kerrannaisyksiköihin tutustumiseen ja projektin esittelyyn, projektin suorittamiseen ja tulosten esittelyyn.</w:t>
      </w:r>
    </w:p>
    <w:p w:rsidR="007004E8" w:rsidRPr="00DB0AD4" w:rsidRDefault="00961823">
      <w:pPr>
        <w:spacing w:after="200" w:line="276" w:lineRule="auto"/>
        <w:jc w:val="both"/>
        <w:rPr>
          <w:i/>
          <w:lang w:val="fi-FI"/>
        </w:rPr>
      </w:pPr>
      <w:r w:rsidRPr="00DB0AD4">
        <w:rPr>
          <w:rFonts w:ascii="Times New Roman" w:eastAsia="Times New Roman" w:hAnsi="Times New Roman" w:cs="Times New Roman"/>
          <w:i/>
          <w:sz w:val="24"/>
          <w:szCs w:val="24"/>
          <w:lang w:val="fi-FI"/>
        </w:rPr>
        <w:t>Tutustuminen kerrannaisyksiköihin ja projektin esittely</w:t>
      </w:r>
    </w:p>
    <w:p w:rsidR="007004E8" w:rsidRDefault="00961823">
      <w:pPr>
        <w:spacing w:after="200" w:line="276" w:lineRule="auto"/>
        <w:jc w:val="both"/>
      </w:pPr>
      <w:r w:rsidRPr="00DB0AD4">
        <w:rPr>
          <w:rFonts w:ascii="Times New Roman" w:eastAsia="Times New Roman" w:hAnsi="Times New Roman" w:cs="Times New Roman"/>
          <w:sz w:val="24"/>
          <w:szCs w:val="24"/>
          <w:lang w:val="fi-FI"/>
        </w:rPr>
        <w:t xml:space="preserve">Projektin alussa tutustutaan kerrannaisyksiköihin opettajan johdolla. Tutustumisen jälkeen opettaja ohjeistaa projektin ja jakaa luokan noin kolmen hengen ryhmiin. </w:t>
      </w:r>
      <w:proofErr w:type="spellStart"/>
      <w:r>
        <w:rPr>
          <w:rFonts w:ascii="Times New Roman" w:eastAsia="Times New Roman" w:hAnsi="Times New Roman" w:cs="Times New Roman"/>
          <w:sz w:val="24"/>
          <w:szCs w:val="24"/>
        </w:rPr>
        <w:t>Tunnilla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myös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kerrata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prosenttilaskentaa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käydä</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läpi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kaava</w:t>
      </w:r>
      <w:proofErr w:type="spellEnd"/>
      <w:r>
        <w:rPr>
          <w:rFonts w:ascii="Times New Roman" w:eastAsia="Times New Roman" w:hAnsi="Times New Roman" w:cs="Times New Roman"/>
          <w:sz w:val="24"/>
          <w:szCs w:val="24"/>
        </w:rPr>
        <w:t>:</w:t>
      </w:r>
    </w:p>
    <w:p w:rsidR="00754E01" w:rsidRPr="00DB0AD4" w:rsidRDefault="00FC1D5A">
      <w:pPr>
        <w:spacing w:after="200" w:line="276" w:lineRule="auto"/>
        <w:jc w:val="both"/>
      </w:pPr>
      <m:oMathPara>
        <m:oMath>
          <m:r>
            <w:rPr>
              <w:rFonts w:ascii="Cambria Math" w:eastAsia="Times New Roman" w:hAnsi="Cambria Math" w:cs="Times New Roman"/>
            </w:rPr>
            <m:t>%-osuus saantisuosituksesta =</m:t>
          </m:r>
          <m:f>
            <m:fPr>
              <m:ctrlPr>
                <w:rPr>
                  <w:rFonts w:ascii="Cambria Math" w:eastAsia="Times New Roman" w:hAnsi="Cambria Math" w:cs="Times New Roman"/>
                  <w:i/>
                </w:rPr>
              </m:ctrlPr>
            </m:fPr>
            <m:num>
              <m:r>
                <w:rPr>
                  <w:rFonts w:ascii="Cambria Math" w:eastAsia="Times New Roman" w:hAnsi="Cambria Math" w:cs="Times New Roman"/>
                </w:rPr>
                <m:t>ravintoainetta kouluateriassa</m:t>
              </m:r>
            </m:num>
            <m:den>
              <m:r>
                <w:rPr>
                  <w:rFonts w:ascii="Cambria Math" w:eastAsia="Times New Roman" w:hAnsi="Cambria Math" w:cs="Times New Roman"/>
                </w:rPr>
                <m:t>ravintoaineen saantisuositus vuorokaudessa</m:t>
              </m:r>
            </m:den>
          </m:f>
          <m:r>
            <w:rPr>
              <w:rFonts w:ascii="Cambria Math" w:eastAsia="Times New Roman" w:hAnsi="Cambria Math" w:cs="Times New Roman"/>
            </w:rPr>
            <m:t xml:space="preserve"> ×100%</m:t>
          </m:r>
        </m:oMath>
      </m:oMathPara>
    </w:p>
    <w:p w:rsidR="00DB0AD4" w:rsidRDefault="00DB0AD4">
      <w:pPr>
        <w:spacing w:after="200" w:line="276" w:lineRule="auto"/>
        <w:jc w:val="both"/>
        <w:rPr>
          <w:rFonts w:ascii="Times New Roman" w:eastAsia="Times New Roman" w:hAnsi="Times New Roman" w:cs="Times New Roman"/>
          <w:i/>
          <w:sz w:val="24"/>
          <w:szCs w:val="24"/>
          <w:lang w:val="fi-FI"/>
        </w:rPr>
      </w:pPr>
    </w:p>
    <w:p w:rsidR="007004E8" w:rsidRPr="00DB0AD4" w:rsidRDefault="00961823">
      <w:pPr>
        <w:spacing w:after="200" w:line="276" w:lineRule="auto"/>
        <w:jc w:val="both"/>
        <w:rPr>
          <w:i/>
          <w:lang w:val="fi-FI"/>
        </w:rPr>
      </w:pPr>
      <w:r w:rsidRPr="00DB0AD4">
        <w:rPr>
          <w:rFonts w:ascii="Times New Roman" w:eastAsia="Times New Roman" w:hAnsi="Times New Roman" w:cs="Times New Roman"/>
          <w:i/>
          <w:sz w:val="24"/>
          <w:szCs w:val="24"/>
          <w:lang w:val="fi-FI"/>
        </w:rPr>
        <w:t>Projektin suorittaminen</w:t>
      </w:r>
    </w:p>
    <w:p w:rsidR="007004E8" w:rsidRPr="00DB0AD4" w:rsidRDefault="00961823" w:rsidP="00754E01">
      <w:pPr>
        <w:spacing w:after="200" w:line="276" w:lineRule="auto"/>
        <w:jc w:val="both"/>
        <w:rPr>
          <w:lang w:val="fi-FI"/>
        </w:rPr>
      </w:pPr>
      <w:r w:rsidRPr="00DB0AD4">
        <w:rPr>
          <w:rFonts w:ascii="Times New Roman" w:eastAsia="Times New Roman" w:hAnsi="Times New Roman" w:cs="Times New Roman"/>
          <w:sz w:val="24"/>
          <w:szCs w:val="24"/>
          <w:lang w:val="fi-FI"/>
        </w:rPr>
        <w:t>Ryhmät tutustuvat oman koulunsa ruokalistoihin. Kullekin ryhmälle jaetaan yksi koulupäivä, jonka ruokalistaan ryhmä tutustuu tarkemmin. Varsinainen tehtävänanto on:</w:t>
      </w:r>
    </w:p>
    <w:p w:rsidR="00754E01" w:rsidRPr="00DB0AD4" w:rsidRDefault="00961823">
      <w:pPr>
        <w:spacing w:after="0" w:line="276" w:lineRule="auto"/>
        <w:jc w:val="both"/>
        <w:rPr>
          <w:rFonts w:ascii="Times New Roman" w:eastAsia="Times New Roman" w:hAnsi="Times New Roman" w:cs="Times New Roman"/>
          <w:i/>
          <w:sz w:val="24"/>
          <w:szCs w:val="24"/>
          <w:lang w:val="fi-FI"/>
        </w:rPr>
      </w:pPr>
      <w:r w:rsidRPr="00DB0AD4">
        <w:rPr>
          <w:rFonts w:ascii="Times New Roman" w:eastAsia="Times New Roman" w:hAnsi="Times New Roman" w:cs="Times New Roman"/>
          <w:i/>
          <w:sz w:val="24"/>
          <w:szCs w:val="24"/>
          <w:lang w:val="fi-FI"/>
        </w:rPr>
        <w:lastRenderedPageBreak/>
        <w:t>Kalle Koululainen käy syömässä koulussa lounaan valitsemananne päivänä</w:t>
      </w:r>
    </w:p>
    <w:p w:rsidR="007004E8" w:rsidRDefault="00961823">
      <w:pPr>
        <w:spacing w:after="0" w:line="276" w:lineRule="auto"/>
        <w:jc w:val="both"/>
      </w:pPr>
      <w:r>
        <w:rPr>
          <w:rFonts w:ascii="Times New Roman" w:eastAsia="Times New Roman" w:hAnsi="Times New Roman" w:cs="Times New Roman"/>
          <w:i/>
          <w:sz w:val="24"/>
          <w:szCs w:val="24"/>
        </w:rPr>
        <w:t xml:space="preserve">. </w:t>
      </w:r>
    </w:p>
    <w:p w:rsidR="007004E8" w:rsidRDefault="00961823">
      <w:pPr>
        <w:numPr>
          <w:ilvl w:val="0"/>
          <w:numId w:val="1"/>
        </w:numPr>
        <w:spacing w:after="0" w:line="276" w:lineRule="auto"/>
        <w:ind w:hanging="360"/>
        <w:contextualSpacing/>
        <w:jc w:val="both"/>
        <w:rPr>
          <w:rFonts w:ascii="Times New Roman" w:eastAsia="Times New Roman" w:hAnsi="Times New Roman" w:cs="Times New Roman"/>
          <w:i/>
          <w:sz w:val="24"/>
          <w:szCs w:val="24"/>
        </w:rPr>
      </w:pPr>
      <w:r w:rsidRPr="00DB0AD4">
        <w:rPr>
          <w:rFonts w:ascii="Times New Roman" w:eastAsia="Times New Roman" w:hAnsi="Times New Roman" w:cs="Times New Roman"/>
          <w:i/>
          <w:sz w:val="24"/>
          <w:szCs w:val="24"/>
          <w:lang w:val="fi-FI"/>
        </w:rPr>
        <w:t xml:space="preserve">Arvioi, kuinka paljon Kalle ottaa kutakin ruoka-ainetta. </w:t>
      </w:r>
      <w:proofErr w:type="spellStart"/>
      <w:r>
        <w:rPr>
          <w:rFonts w:ascii="Times New Roman" w:eastAsia="Times New Roman" w:hAnsi="Times New Roman" w:cs="Times New Roman"/>
          <w:i/>
          <w:sz w:val="24"/>
          <w:szCs w:val="24"/>
        </w:rPr>
        <w:t>Kalle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pyrkii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noudattamaan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lautasmallia</w:t>
      </w:r>
      <w:proofErr w:type="spellEnd"/>
      <w:r>
        <w:rPr>
          <w:rFonts w:ascii="Times New Roman" w:eastAsia="Times New Roman" w:hAnsi="Times New Roman" w:cs="Times New Roman"/>
          <w:i/>
          <w:sz w:val="24"/>
          <w:szCs w:val="24"/>
        </w:rPr>
        <w:t xml:space="preserve">. </w:t>
      </w:r>
    </w:p>
    <w:p w:rsidR="007004E8" w:rsidRPr="00DB0AD4" w:rsidRDefault="00961823">
      <w:pPr>
        <w:numPr>
          <w:ilvl w:val="0"/>
          <w:numId w:val="1"/>
        </w:numPr>
        <w:spacing w:after="0" w:line="276" w:lineRule="auto"/>
        <w:ind w:hanging="360"/>
        <w:contextualSpacing/>
        <w:jc w:val="both"/>
        <w:rPr>
          <w:rFonts w:ascii="Times New Roman" w:eastAsia="Times New Roman" w:hAnsi="Times New Roman" w:cs="Times New Roman"/>
          <w:i/>
          <w:sz w:val="24"/>
          <w:szCs w:val="24"/>
          <w:lang w:val="fi-FI"/>
        </w:rPr>
      </w:pPr>
      <w:r w:rsidRPr="00DB0AD4">
        <w:rPr>
          <w:rFonts w:ascii="Times New Roman" w:eastAsia="Times New Roman" w:hAnsi="Times New Roman" w:cs="Times New Roman"/>
          <w:i/>
          <w:sz w:val="24"/>
          <w:szCs w:val="24"/>
          <w:lang w:val="fi-FI"/>
        </w:rPr>
        <w:t>Laske, kuinka paljon hän saa annoksestaan liitteen 1 taulukoissa mainittuja ravintoaineita.</w:t>
      </w:r>
    </w:p>
    <w:p w:rsidR="007004E8" w:rsidRPr="00DB0AD4" w:rsidRDefault="00961823">
      <w:pPr>
        <w:numPr>
          <w:ilvl w:val="0"/>
          <w:numId w:val="1"/>
        </w:numPr>
        <w:spacing w:after="0" w:line="276" w:lineRule="auto"/>
        <w:ind w:hanging="360"/>
        <w:contextualSpacing/>
        <w:jc w:val="both"/>
        <w:rPr>
          <w:rFonts w:ascii="Times New Roman" w:eastAsia="Times New Roman" w:hAnsi="Times New Roman" w:cs="Times New Roman"/>
          <w:i/>
          <w:sz w:val="24"/>
          <w:szCs w:val="24"/>
          <w:lang w:val="fi-FI"/>
        </w:rPr>
      </w:pPr>
      <w:r w:rsidRPr="00DB0AD4">
        <w:rPr>
          <w:rFonts w:ascii="Times New Roman" w:eastAsia="Times New Roman" w:hAnsi="Times New Roman" w:cs="Times New Roman"/>
          <w:i/>
          <w:sz w:val="24"/>
          <w:szCs w:val="24"/>
          <w:lang w:val="fi-FI"/>
        </w:rPr>
        <w:t>Kuinka monta prosenttia päivän ravintosuosituksista Kalle saa päivän kouluruuasta?</w:t>
      </w:r>
    </w:p>
    <w:p w:rsidR="007004E8" w:rsidRPr="00DB0AD4" w:rsidRDefault="007004E8">
      <w:pPr>
        <w:spacing w:after="0" w:line="276" w:lineRule="auto"/>
        <w:jc w:val="both"/>
        <w:rPr>
          <w:lang w:val="fi-FI"/>
        </w:rPr>
      </w:pPr>
    </w:p>
    <w:p w:rsidR="007004E8" w:rsidRPr="00DB0AD4" w:rsidRDefault="00961823">
      <w:pPr>
        <w:spacing w:after="0" w:line="276" w:lineRule="auto"/>
        <w:jc w:val="both"/>
        <w:rPr>
          <w:lang w:val="fi-FI"/>
        </w:rPr>
      </w:pPr>
      <w:r w:rsidRPr="00DB0AD4">
        <w:rPr>
          <w:rFonts w:ascii="Times New Roman" w:eastAsia="Times New Roman" w:hAnsi="Times New Roman" w:cs="Times New Roman"/>
          <w:sz w:val="24"/>
          <w:szCs w:val="24"/>
          <w:lang w:val="fi-FI"/>
        </w:rPr>
        <w:t>Vastaukset kootaan liitteen taulukkoon. Kouluruokaan tutustumisen jälkeen jokainen ryhmä tutustuu yhteen seuraavista:</w:t>
      </w:r>
    </w:p>
    <w:p w:rsidR="007004E8" w:rsidRPr="00DB0AD4" w:rsidRDefault="007004E8">
      <w:pPr>
        <w:spacing w:after="0" w:line="276" w:lineRule="auto"/>
        <w:jc w:val="both"/>
        <w:rPr>
          <w:lang w:val="fi-FI"/>
        </w:rPr>
      </w:pPr>
    </w:p>
    <w:p w:rsidR="007004E8" w:rsidRDefault="00961823">
      <w:pPr>
        <w:numPr>
          <w:ilvl w:val="0"/>
          <w:numId w:val="4"/>
        </w:numPr>
        <w:spacing w:after="0" w:line="276"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McDonalds: Big Mac – </w:t>
      </w:r>
      <w:proofErr w:type="spellStart"/>
      <w:r>
        <w:rPr>
          <w:rFonts w:ascii="Times New Roman" w:eastAsia="Times New Roman" w:hAnsi="Times New Roman" w:cs="Times New Roman"/>
          <w:sz w:val="24"/>
          <w:szCs w:val="24"/>
        </w:rPr>
        <w:t>ateria</w:t>
      </w:r>
      <w:proofErr w:type="spellEnd"/>
    </w:p>
    <w:p w:rsidR="007004E8" w:rsidRPr="00DB0AD4" w:rsidRDefault="00961823">
      <w:pPr>
        <w:numPr>
          <w:ilvl w:val="0"/>
          <w:numId w:val="4"/>
        </w:numPr>
        <w:spacing w:after="0" w:line="276" w:lineRule="auto"/>
        <w:ind w:hanging="360"/>
        <w:contextualSpacing/>
        <w:jc w:val="both"/>
        <w:rPr>
          <w:rFonts w:ascii="Times New Roman" w:eastAsia="Times New Roman" w:hAnsi="Times New Roman" w:cs="Times New Roman"/>
          <w:sz w:val="24"/>
          <w:szCs w:val="24"/>
          <w:lang w:val="fi-FI"/>
        </w:rPr>
      </w:pPr>
      <w:proofErr w:type="spellStart"/>
      <w:r w:rsidRPr="00DB0AD4">
        <w:rPr>
          <w:rFonts w:ascii="Times New Roman" w:eastAsia="Times New Roman" w:hAnsi="Times New Roman" w:cs="Times New Roman"/>
          <w:sz w:val="24"/>
          <w:szCs w:val="24"/>
          <w:lang w:val="fi-FI"/>
        </w:rPr>
        <w:t>McDonalds</w:t>
      </w:r>
      <w:proofErr w:type="spellEnd"/>
      <w:r w:rsidRPr="00DB0AD4">
        <w:rPr>
          <w:rFonts w:ascii="Times New Roman" w:eastAsia="Times New Roman" w:hAnsi="Times New Roman" w:cs="Times New Roman"/>
          <w:sz w:val="24"/>
          <w:szCs w:val="24"/>
          <w:lang w:val="fi-FI"/>
        </w:rPr>
        <w:t>: 4 juustohampurilaista ja vaniljapirtelö (0,4 l)</w:t>
      </w:r>
    </w:p>
    <w:p w:rsidR="007004E8" w:rsidRDefault="00961823">
      <w:pPr>
        <w:numPr>
          <w:ilvl w:val="0"/>
          <w:numId w:val="4"/>
        </w:numPr>
        <w:spacing w:after="0" w:line="276"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Hesburger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Kanahampurilaisateria</w:t>
      </w:r>
      <w:proofErr w:type="spellEnd"/>
    </w:p>
    <w:p w:rsidR="007004E8" w:rsidRPr="00DB0AD4" w:rsidRDefault="00961823">
      <w:pPr>
        <w:numPr>
          <w:ilvl w:val="0"/>
          <w:numId w:val="4"/>
        </w:numPr>
        <w:spacing w:after="0" w:line="276" w:lineRule="auto"/>
        <w:ind w:hanging="360"/>
        <w:contextualSpacing/>
        <w:jc w:val="both"/>
        <w:rPr>
          <w:rFonts w:ascii="Times New Roman" w:eastAsia="Times New Roman" w:hAnsi="Times New Roman" w:cs="Times New Roman"/>
          <w:sz w:val="24"/>
          <w:szCs w:val="24"/>
          <w:lang w:val="fi-FI"/>
        </w:rPr>
      </w:pPr>
      <w:r w:rsidRPr="00DB0AD4">
        <w:rPr>
          <w:rFonts w:ascii="Times New Roman" w:eastAsia="Times New Roman" w:hAnsi="Times New Roman" w:cs="Times New Roman"/>
          <w:sz w:val="24"/>
          <w:szCs w:val="24"/>
          <w:lang w:val="fi-FI"/>
        </w:rPr>
        <w:t>Hesburger: 4 tavallista hampurilaista ja vaniljapirtelö 0,4 l</w:t>
      </w:r>
    </w:p>
    <w:p w:rsidR="007004E8" w:rsidRPr="00DB0AD4" w:rsidRDefault="00961823">
      <w:pPr>
        <w:numPr>
          <w:ilvl w:val="0"/>
          <w:numId w:val="4"/>
        </w:numPr>
        <w:spacing w:after="0" w:line="276" w:lineRule="auto"/>
        <w:ind w:hanging="360"/>
        <w:contextualSpacing/>
        <w:jc w:val="both"/>
        <w:rPr>
          <w:rFonts w:ascii="Times New Roman" w:eastAsia="Times New Roman" w:hAnsi="Times New Roman" w:cs="Times New Roman"/>
          <w:sz w:val="24"/>
          <w:szCs w:val="24"/>
          <w:lang w:val="fi-FI"/>
        </w:rPr>
      </w:pPr>
      <w:proofErr w:type="spellStart"/>
      <w:r w:rsidRPr="00DB0AD4">
        <w:rPr>
          <w:rFonts w:ascii="Times New Roman" w:eastAsia="Times New Roman" w:hAnsi="Times New Roman" w:cs="Times New Roman"/>
          <w:sz w:val="24"/>
          <w:szCs w:val="24"/>
          <w:lang w:val="fi-FI"/>
        </w:rPr>
        <w:t>Subway</w:t>
      </w:r>
      <w:proofErr w:type="spellEnd"/>
      <w:r w:rsidRPr="00DB0AD4">
        <w:rPr>
          <w:rFonts w:ascii="Times New Roman" w:eastAsia="Times New Roman" w:hAnsi="Times New Roman" w:cs="Times New Roman"/>
          <w:sz w:val="24"/>
          <w:szCs w:val="24"/>
          <w:lang w:val="fi-FI"/>
        </w:rPr>
        <w:t xml:space="preserve">: </w:t>
      </w:r>
      <w:proofErr w:type="spellStart"/>
      <w:r w:rsidRPr="00DB0AD4">
        <w:rPr>
          <w:rFonts w:ascii="Times New Roman" w:eastAsia="Times New Roman" w:hAnsi="Times New Roman" w:cs="Times New Roman"/>
          <w:sz w:val="24"/>
          <w:szCs w:val="24"/>
          <w:lang w:val="fi-FI"/>
        </w:rPr>
        <w:t>Steak</w:t>
      </w:r>
      <w:proofErr w:type="spellEnd"/>
      <w:r w:rsidRPr="00DB0AD4">
        <w:rPr>
          <w:rFonts w:ascii="Times New Roman" w:eastAsia="Times New Roman" w:hAnsi="Times New Roman" w:cs="Times New Roman"/>
          <w:sz w:val="24"/>
          <w:szCs w:val="24"/>
          <w:lang w:val="fi-FI"/>
        </w:rPr>
        <w:t xml:space="preserve"> &amp; </w:t>
      </w:r>
      <w:proofErr w:type="spellStart"/>
      <w:r w:rsidRPr="00DB0AD4">
        <w:rPr>
          <w:rFonts w:ascii="Times New Roman" w:eastAsia="Times New Roman" w:hAnsi="Times New Roman" w:cs="Times New Roman"/>
          <w:sz w:val="24"/>
          <w:szCs w:val="24"/>
          <w:lang w:val="fi-FI"/>
        </w:rPr>
        <w:t>Cheese</w:t>
      </w:r>
      <w:proofErr w:type="spellEnd"/>
      <w:r w:rsidRPr="00DB0AD4">
        <w:rPr>
          <w:rFonts w:ascii="Times New Roman" w:eastAsia="Times New Roman" w:hAnsi="Times New Roman" w:cs="Times New Roman"/>
          <w:sz w:val="24"/>
          <w:szCs w:val="24"/>
          <w:lang w:val="fi-FI"/>
        </w:rPr>
        <w:t xml:space="preserve"> (15 cm, vaalealla leivällä, vihanneksilla, juustolla, BBQ- ja </w:t>
      </w:r>
      <w:proofErr w:type="spellStart"/>
      <w:r w:rsidRPr="00DB0AD4">
        <w:rPr>
          <w:rFonts w:ascii="Times New Roman" w:eastAsia="Times New Roman" w:hAnsi="Times New Roman" w:cs="Times New Roman"/>
          <w:sz w:val="24"/>
          <w:szCs w:val="24"/>
          <w:lang w:val="fi-FI"/>
        </w:rPr>
        <w:t>Southwest</w:t>
      </w:r>
      <w:proofErr w:type="spellEnd"/>
      <w:r w:rsidRPr="00DB0AD4">
        <w:rPr>
          <w:rFonts w:ascii="Times New Roman" w:eastAsia="Times New Roman" w:hAnsi="Times New Roman" w:cs="Times New Roman"/>
          <w:sz w:val="24"/>
          <w:szCs w:val="24"/>
          <w:lang w:val="fi-FI"/>
        </w:rPr>
        <w:t xml:space="preserve"> -kastikkeilla) ja Sprite (0,5 l)</w:t>
      </w:r>
    </w:p>
    <w:p w:rsidR="007004E8" w:rsidRPr="00DB0AD4" w:rsidRDefault="00961823">
      <w:pPr>
        <w:numPr>
          <w:ilvl w:val="0"/>
          <w:numId w:val="4"/>
        </w:numPr>
        <w:spacing w:after="0" w:line="276" w:lineRule="auto"/>
        <w:ind w:hanging="360"/>
        <w:contextualSpacing/>
        <w:jc w:val="both"/>
        <w:rPr>
          <w:rFonts w:ascii="Times New Roman" w:eastAsia="Times New Roman" w:hAnsi="Times New Roman" w:cs="Times New Roman"/>
          <w:sz w:val="24"/>
          <w:szCs w:val="24"/>
          <w:lang w:val="fi-FI"/>
        </w:rPr>
      </w:pPr>
      <w:proofErr w:type="spellStart"/>
      <w:r w:rsidRPr="00DB0AD4">
        <w:rPr>
          <w:rFonts w:ascii="Times New Roman" w:eastAsia="Times New Roman" w:hAnsi="Times New Roman" w:cs="Times New Roman"/>
          <w:sz w:val="24"/>
          <w:szCs w:val="24"/>
          <w:lang w:val="fi-FI"/>
        </w:rPr>
        <w:t>Subway</w:t>
      </w:r>
      <w:proofErr w:type="spellEnd"/>
      <w:r w:rsidRPr="00DB0AD4">
        <w:rPr>
          <w:rFonts w:ascii="Times New Roman" w:eastAsia="Times New Roman" w:hAnsi="Times New Roman" w:cs="Times New Roman"/>
          <w:sz w:val="24"/>
          <w:szCs w:val="24"/>
          <w:lang w:val="fi-FI"/>
        </w:rPr>
        <w:t>: Kananrinta (15 cm, kokojyväleivällä, vihanneksilla, juustolla, Hot Louisiana-kastikkeella) ja kahvi (ilman maitoa ja sokeria)</w:t>
      </w:r>
    </w:p>
    <w:p w:rsidR="007004E8" w:rsidRPr="00DB0AD4" w:rsidRDefault="00961823">
      <w:pPr>
        <w:numPr>
          <w:ilvl w:val="0"/>
          <w:numId w:val="4"/>
        </w:numPr>
        <w:spacing w:after="0" w:line="276" w:lineRule="auto"/>
        <w:ind w:hanging="360"/>
        <w:contextualSpacing/>
        <w:jc w:val="both"/>
        <w:rPr>
          <w:rFonts w:ascii="Times New Roman" w:eastAsia="Times New Roman" w:hAnsi="Times New Roman" w:cs="Times New Roman"/>
          <w:sz w:val="24"/>
          <w:szCs w:val="24"/>
          <w:lang w:val="fi-FI"/>
        </w:rPr>
      </w:pPr>
      <w:r w:rsidRPr="00DB0AD4">
        <w:rPr>
          <w:rFonts w:ascii="Times New Roman" w:eastAsia="Times New Roman" w:hAnsi="Times New Roman" w:cs="Times New Roman"/>
          <w:sz w:val="24"/>
          <w:szCs w:val="24"/>
          <w:lang w:val="fi-FI"/>
        </w:rPr>
        <w:t xml:space="preserve">Pizza Hut: </w:t>
      </w:r>
      <w:proofErr w:type="spellStart"/>
      <w:r w:rsidRPr="00DB0AD4">
        <w:rPr>
          <w:rFonts w:ascii="Times New Roman" w:eastAsia="Times New Roman" w:hAnsi="Times New Roman" w:cs="Times New Roman"/>
          <w:sz w:val="24"/>
          <w:szCs w:val="24"/>
          <w:lang w:val="fi-FI"/>
        </w:rPr>
        <w:t>Hawaiian</w:t>
      </w:r>
      <w:proofErr w:type="spellEnd"/>
      <w:r w:rsidRPr="00DB0AD4">
        <w:rPr>
          <w:rFonts w:ascii="Times New Roman" w:eastAsia="Times New Roman" w:hAnsi="Times New Roman" w:cs="Times New Roman"/>
          <w:sz w:val="24"/>
          <w:szCs w:val="24"/>
          <w:lang w:val="fi-FI"/>
        </w:rPr>
        <w:t>-pizza ja Pepsi (0,4 l)</w:t>
      </w:r>
    </w:p>
    <w:p w:rsidR="007004E8" w:rsidRPr="00DB0AD4" w:rsidRDefault="007004E8">
      <w:pPr>
        <w:spacing w:after="0" w:line="276" w:lineRule="auto"/>
        <w:ind w:left="720"/>
        <w:jc w:val="both"/>
        <w:rPr>
          <w:lang w:val="fi-FI"/>
        </w:rPr>
      </w:pPr>
    </w:p>
    <w:p w:rsidR="007004E8" w:rsidRPr="00DB0AD4" w:rsidRDefault="00961823" w:rsidP="00DB0AD4">
      <w:pPr>
        <w:spacing w:after="0" w:line="276" w:lineRule="auto"/>
        <w:jc w:val="both"/>
        <w:rPr>
          <w:lang w:val="fi-FI"/>
        </w:rPr>
      </w:pPr>
      <w:r w:rsidRPr="00DB0AD4">
        <w:rPr>
          <w:rFonts w:ascii="Times New Roman" w:eastAsia="Times New Roman" w:hAnsi="Times New Roman" w:cs="Times New Roman"/>
          <w:sz w:val="24"/>
          <w:szCs w:val="24"/>
          <w:lang w:val="fi-FI"/>
        </w:rPr>
        <w:t>Kunkin ravintolan internet-sivuilta löytyy tarkempaa tietoa siitä, mitä annokset sisältävät. Tehtävänanto on:</w:t>
      </w:r>
    </w:p>
    <w:p w:rsidR="00754E01" w:rsidRPr="00DB0AD4" w:rsidRDefault="00754E01">
      <w:pPr>
        <w:spacing w:after="0" w:line="276" w:lineRule="auto"/>
        <w:jc w:val="both"/>
        <w:rPr>
          <w:rFonts w:ascii="Times New Roman" w:eastAsia="Times New Roman" w:hAnsi="Times New Roman" w:cs="Times New Roman"/>
          <w:i/>
          <w:sz w:val="24"/>
          <w:szCs w:val="24"/>
          <w:lang w:val="fi-FI"/>
        </w:rPr>
      </w:pPr>
    </w:p>
    <w:p w:rsidR="007004E8" w:rsidRPr="00DB0AD4" w:rsidRDefault="00961823">
      <w:pPr>
        <w:spacing w:after="0" w:line="276" w:lineRule="auto"/>
        <w:jc w:val="both"/>
        <w:rPr>
          <w:rFonts w:ascii="Times New Roman" w:eastAsia="Times New Roman" w:hAnsi="Times New Roman" w:cs="Times New Roman"/>
          <w:i/>
          <w:sz w:val="24"/>
          <w:szCs w:val="24"/>
          <w:lang w:val="fi-FI"/>
        </w:rPr>
      </w:pPr>
      <w:r w:rsidRPr="00DB0AD4">
        <w:rPr>
          <w:rFonts w:ascii="Times New Roman" w:eastAsia="Times New Roman" w:hAnsi="Times New Roman" w:cs="Times New Roman"/>
          <w:i/>
          <w:sz w:val="24"/>
          <w:szCs w:val="24"/>
          <w:lang w:val="fi-FI"/>
        </w:rPr>
        <w:t xml:space="preserve">Kalle Koululainen käy lauantaina syömässä valitsemassanne pikaruokaravintolassa valitsemanne annoksen. </w:t>
      </w:r>
    </w:p>
    <w:p w:rsidR="00754E01" w:rsidRPr="00DB0AD4" w:rsidRDefault="00754E01">
      <w:pPr>
        <w:spacing w:after="0" w:line="276" w:lineRule="auto"/>
        <w:jc w:val="both"/>
        <w:rPr>
          <w:lang w:val="fi-FI"/>
        </w:rPr>
      </w:pPr>
    </w:p>
    <w:p w:rsidR="007004E8" w:rsidRDefault="00961823">
      <w:pPr>
        <w:numPr>
          <w:ilvl w:val="0"/>
          <w:numId w:val="3"/>
        </w:numPr>
        <w:spacing w:after="0" w:line="276" w:lineRule="auto"/>
        <w:ind w:hanging="360"/>
        <w:contextualSpacing/>
        <w:jc w:val="both"/>
        <w:rPr>
          <w:rFonts w:ascii="Times New Roman" w:eastAsia="Times New Roman" w:hAnsi="Times New Roman" w:cs="Times New Roman"/>
          <w:i/>
          <w:sz w:val="24"/>
          <w:szCs w:val="24"/>
        </w:rPr>
      </w:pPr>
      <w:r w:rsidRPr="00DB0AD4">
        <w:rPr>
          <w:rFonts w:ascii="Times New Roman" w:eastAsia="Times New Roman" w:hAnsi="Times New Roman" w:cs="Times New Roman"/>
          <w:i/>
          <w:sz w:val="24"/>
          <w:szCs w:val="24"/>
          <w:lang w:val="fi-FI"/>
        </w:rPr>
        <w:t xml:space="preserve">Arvioi, kuinka paljon Kalle syö kutakin annoksen komponenttia, mikäli määrää ei ole mainittu tehtävänannossa tai annoksen kokoa ei kerrota nettisivuilla. </w:t>
      </w:r>
      <w:proofErr w:type="spellStart"/>
      <w:r>
        <w:rPr>
          <w:rFonts w:ascii="Times New Roman" w:eastAsia="Times New Roman" w:hAnsi="Times New Roman" w:cs="Times New Roman"/>
          <w:i/>
          <w:sz w:val="24"/>
          <w:szCs w:val="24"/>
        </w:rPr>
        <w:t>Kalle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syö</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aina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koko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annoksen</w:t>
      </w:r>
      <w:proofErr w:type="spellEnd"/>
      <w:r>
        <w:rPr>
          <w:rFonts w:ascii="Times New Roman" w:eastAsia="Times New Roman" w:hAnsi="Times New Roman" w:cs="Times New Roman"/>
          <w:i/>
          <w:sz w:val="24"/>
          <w:szCs w:val="24"/>
        </w:rPr>
        <w:t xml:space="preserve">. </w:t>
      </w:r>
    </w:p>
    <w:p w:rsidR="007004E8" w:rsidRPr="00DB0AD4" w:rsidRDefault="00961823">
      <w:pPr>
        <w:numPr>
          <w:ilvl w:val="0"/>
          <w:numId w:val="3"/>
        </w:numPr>
        <w:spacing w:after="0" w:line="276" w:lineRule="auto"/>
        <w:ind w:hanging="360"/>
        <w:contextualSpacing/>
        <w:jc w:val="both"/>
        <w:rPr>
          <w:rFonts w:ascii="Times New Roman" w:eastAsia="Times New Roman" w:hAnsi="Times New Roman" w:cs="Times New Roman"/>
          <w:i/>
          <w:sz w:val="24"/>
          <w:szCs w:val="24"/>
          <w:lang w:val="fi-FI"/>
        </w:rPr>
      </w:pPr>
      <w:r w:rsidRPr="00DB0AD4">
        <w:rPr>
          <w:rFonts w:ascii="Times New Roman" w:eastAsia="Times New Roman" w:hAnsi="Times New Roman" w:cs="Times New Roman"/>
          <w:i/>
          <w:sz w:val="24"/>
          <w:szCs w:val="24"/>
          <w:lang w:val="fi-FI"/>
        </w:rPr>
        <w:t>Laske, kuinka paljon hän saa annoksestaan liitteen 1 taulukoissa mainittuja ravintoaineita.</w:t>
      </w:r>
    </w:p>
    <w:p w:rsidR="007004E8" w:rsidRPr="00DB0AD4" w:rsidRDefault="00961823">
      <w:pPr>
        <w:numPr>
          <w:ilvl w:val="0"/>
          <w:numId w:val="3"/>
        </w:numPr>
        <w:spacing w:after="0" w:line="276" w:lineRule="auto"/>
        <w:ind w:hanging="360"/>
        <w:contextualSpacing/>
        <w:jc w:val="both"/>
        <w:rPr>
          <w:rFonts w:ascii="Times New Roman" w:eastAsia="Times New Roman" w:hAnsi="Times New Roman" w:cs="Times New Roman"/>
          <w:i/>
          <w:sz w:val="24"/>
          <w:szCs w:val="24"/>
          <w:lang w:val="fi-FI"/>
        </w:rPr>
      </w:pPr>
      <w:r w:rsidRPr="00DB0AD4">
        <w:rPr>
          <w:rFonts w:ascii="Times New Roman" w:eastAsia="Times New Roman" w:hAnsi="Times New Roman" w:cs="Times New Roman"/>
          <w:i/>
          <w:sz w:val="24"/>
          <w:szCs w:val="24"/>
          <w:lang w:val="fi-FI"/>
        </w:rPr>
        <w:t>Kuinka monta prosenttia päivän ravintosuosituksista Kalle saa ateriastaan?</w:t>
      </w:r>
    </w:p>
    <w:p w:rsidR="007004E8" w:rsidRDefault="00961823">
      <w:pPr>
        <w:numPr>
          <w:ilvl w:val="0"/>
          <w:numId w:val="3"/>
        </w:numPr>
        <w:spacing w:after="0" w:line="276" w:lineRule="auto"/>
        <w:ind w:hanging="360"/>
        <w:contextualSpacing/>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Kirjatkaa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ylös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aterian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hinta</w:t>
      </w:r>
      <w:proofErr w:type="spellEnd"/>
      <w:r>
        <w:rPr>
          <w:rFonts w:ascii="Times New Roman" w:eastAsia="Times New Roman" w:hAnsi="Times New Roman" w:cs="Times New Roman"/>
          <w:i/>
          <w:sz w:val="24"/>
          <w:szCs w:val="24"/>
        </w:rPr>
        <w:t>.</w:t>
      </w:r>
    </w:p>
    <w:p w:rsidR="007004E8" w:rsidRDefault="00961823">
      <w:pPr>
        <w:numPr>
          <w:ilvl w:val="0"/>
          <w:numId w:val="3"/>
        </w:numPr>
        <w:spacing w:after="0" w:line="276" w:lineRule="auto"/>
        <w:ind w:hanging="360"/>
        <w:contextualSpacing/>
        <w:jc w:val="both"/>
        <w:rPr>
          <w:rFonts w:ascii="Times New Roman" w:eastAsia="Times New Roman" w:hAnsi="Times New Roman" w:cs="Times New Roman"/>
          <w:i/>
          <w:sz w:val="24"/>
          <w:szCs w:val="24"/>
        </w:rPr>
      </w:pPr>
      <w:r w:rsidRPr="00DB0AD4">
        <w:rPr>
          <w:rFonts w:ascii="Times New Roman" w:eastAsia="Times New Roman" w:hAnsi="Times New Roman" w:cs="Times New Roman"/>
          <w:i/>
          <w:sz w:val="24"/>
          <w:szCs w:val="24"/>
          <w:lang w:val="fi-FI"/>
        </w:rPr>
        <w:lastRenderedPageBreak/>
        <w:t xml:space="preserve">Etsikää tietoa siitä, kuinka paljon eri liikuntamuodot kuluttavat energiaa. Kuinka kauan tulisi juosta ja millä nopeudella, jotta saisi kulutettua ateriasta saadun energian? </w:t>
      </w:r>
      <w:proofErr w:type="spellStart"/>
      <w:r>
        <w:rPr>
          <w:rFonts w:ascii="Times New Roman" w:eastAsia="Times New Roman" w:hAnsi="Times New Roman" w:cs="Times New Roman"/>
          <w:i/>
          <w:sz w:val="24"/>
          <w:szCs w:val="24"/>
        </w:rPr>
        <w:t>Entä</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kuinka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kauan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tulisi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imuroida</w:t>
      </w:r>
      <w:proofErr w:type="spellEnd"/>
      <w:r>
        <w:rPr>
          <w:rFonts w:ascii="Times New Roman" w:eastAsia="Times New Roman" w:hAnsi="Times New Roman" w:cs="Times New Roman"/>
          <w:i/>
          <w:sz w:val="24"/>
          <w:szCs w:val="24"/>
        </w:rPr>
        <w:t>?</w:t>
      </w:r>
    </w:p>
    <w:p w:rsidR="007004E8" w:rsidRDefault="007004E8">
      <w:pPr>
        <w:spacing w:after="0" w:line="276" w:lineRule="auto"/>
        <w:jc w:val="both"/>
      </w:pPr>
    </w:p>
    <w:p w:rsidR="007004E8" w:rsidRPr="00DB0AD4" w:rsidRDefault="00961823">
      <w:pPr>
        <w:spacing w:after="0" w:line="276" w:lineRule="auto"/>
        <w:jc w:val="both"/>
        <w:rPr>
          <w:lang w:val="fi-FI"/>
        </w:rPr>
      </w:pPr>
      <w:r w:rsidRPr="00DB0AD4">
        <w:rPr>
          <w:rFonts w:ascii="Times New Roman" w:eastAsia="Times New Roman" w:hAnsi="Times New Roman" w:cs="Times New Roman"/>
          <w:sz w:val="24"/>
          <w:szCs w:val="24"/>
          <w:lang w:val="fi-FI"/>
        </w:rPr>
        <w:t>Vastaukset kootaan liitteen taulukkoon. Seuraavia internet -sivuja kannattaa hyödyntää tehtävissä:</w:t>
      </w:r>
    </w:p>
    <w:p w:rsidR="007004E8" w:rsidRDefault="00D00A0B">
      <w:pPr>
        <w:numPr>
          <w:ilvl w:val="0"/>
          <w:numId w:val="2"/>
        </w:numPr>
        <w:spacing w:after="0" w:line="276" w:lineRule="auto"/>
        <w:ind w:hanging="360"/>
        <w:contextualSpacing/>
        <w:jc w:val="both"/>
        <w:rPr>
          <w:rFonts w:ascii="Times New Roman" w:eastAsia="Times New Roman" w:hAnsi="Times New Roman" w:cs="Times New Roman"/>
          <w:sz w:val="24"/>
          <w:szCs w:val="24"/>
        </w:rPr>
      </w:pPr>
      <w:hyperlink r:id="rId7">
        <w:r w:rsidR="00961823">
          <w:rPr>
            <w:rFonts w:ascii="Times New Roman" w:eastAsia="Times New Roman" w:hAnsi="Times New Roman" w:cs="Times New Roman"/>
            <w:color w:val="0000FF"/>
            <w:sz w:val="24"/>
            <w:szCs w:val="24"/>
            <w:u w:val="single"/>
          </w:rPr>
          <w:t>www.fineli.fi</w:t>
        </w:r>
      </w:hyperlink>
      <w:r w:rsidR="00961823">
        <w:rPr>
          <w:rFonts w:ascii="Times New Roman" w:eastAsia="Times New Roman" w:hAnsi="Times New Roman" w:cs="Times New Roman"/>
          <w:sz w:val="24"/>
          <w:szCs w:val="24"/>
        </w:rPr>
        <w:t xml:space="preserve"> </w:t>
      </w:r>
    </w:p>
    <w:p w:rsidR="007004E8" w:rsidRPr="00DB0AD4" w:rsidRDefault="00961823">
      <w:pPr>
        <w:numPr>
          <w:ilvl w:val="1"/>
          <w:numId w:val="2"/>
        </w:numPr>
        <w:spacing w:after="0" w:line="276" w:lineRule="auto"/>
        <w:ind w:hanging="360"/>
        <w:contextualSpacing/>
        <w:jc w:val="both"/>
        <w:rPr>
          <w:rFonts w:ascii="Times New Roman" w:eastAsia="Times New Roman" w:hAnsi="Times New Roman" w:cs="Times New Roman"/>
          <w:sz w:val="24"/>
          <w:szCs w:val="24"/>
          <w:lang w:val="fi-FI"/>
        </w:rPr>
      </w:pPr>
      <w:r w:rsidRPr="00DB0AD4">
        <w:rPr>
          <w:rFonts w:ascii="Times New Roman" w:eastAsia="Times New Roman" w:hAnsi="Times New Roman" w:cs="Times New Roman"/>
          <w:sz w:val="24"/>
          <w:szCs w:val="24"/>
          <w:lang w:val="fi-FI"/>
        </w:rPr>
        <w:t>Terveyden ja hyvinvoinnin laitoksen ravitsemusyksikön ylläpitämä elintarvikkeiden koostumustietopankki, josta löytyy aakkosittain kunkin elintarvikkeen ravintoarvot</w:t>
      </w:r>
    </w:p>
    <w:p w:rsidR="007004E8" w:rsidRDefault="00D00A0B">
      <w:pPr>
        <w:numPr>
          <w:ilvl w:val="0"/>
          <w:numId w:val="2"/>
        </w:numPr>
        <w:spacing w:after="0" w:line="276" w:lineRule="auto"/>
        <w:ind w:hanging="360"/>
        <w:contextualSpacing/>
        <w:jc w:val="both"/>
        <w:rPr>
          <w:rFonts w:ascii="Times New Roman" w:eastAsia="Times New Roman" w:hAnsi="Times New Roman" w:cs="Times New Roman"/>
          <w:sz w:val="24"/>
          <w:szCs w:val="24"/>
        </w:rPr>
      </w:pPr>
      <w:hyperlink r:id="rId8">
        <w:r w:rsidR="00961823">
          <w:rPr>
            <w:rFonts w:ascii="Times New Roman" w:eastAsia="Times New Roman" w:hAnsi="Times New Roman" w:cs="Times New Roman"/>
            <w:color w:val="0000FF"/>
            <w:sz w:val="24"/>
            <w:szCs w:val="24"/>
            <w:u w:val="single"/>
          </w:rPr>
          <w:t>http://www.ravintoaineopas.fi/index</w:t>
        </w:r>
      </w:hyperlink>
      <w:r w:rsidR="00961823">
        <w:rPr>
          <w:rFonts w:ascii="Times New Roman" w:eastAsia="Times New Roman" w:hAnsi="Times New Roman" w:cs="Times New Roman"/>
          <w:sz w:val="24"/>
          <w:szCs w:val="24"/>
        </w:rPr>
        <w:t xml:space="preserve"> </w:t>
      </w:r>
    </w:p>
    <w:p w:rsidR="007004E8" w:rsidRDefault="00961823">
      <w:pPr>
        <w:numPr>
          <w:ilvl w:val="1"/>
          <w:numId w:val="2"/>
        </w:numPr>
        <w:spacing w:after="0" w:line="276"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päivittäiset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saantisuositukset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kustakin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ravintoaineesta</w:t>
      </w:r>
      <w:proofErr w:type="spellEnd"/>
    </w:p>
    <w:p w:rsidR="007004E8" w:rsidRDefault="00D00A0B">
      <w:pPr>
        <w:numPr>
          <w:ilvl w:val="0"/>
          <w:numId w:val="2"/>
        </w:numPr>
        <w:spacing w:after="0" w:line="276" w:lineRule="auto"/>
        <w:ind w:hanging="360"/>
        <w:contextualSpacing/>
        <w:jc w:val="both"/>
        <w:rPr>
          <w:rFonts w:ascii="Times New Roman" w:eastAsia="Times New Roman" w:hAnsi="Times New Roman" w:cs="Times New Roman"/>
          <w:sz w:val="24"/>
          <w:szCs w:val="24"/>
        </w:rPr>
      </w:pPr>
      <w:hyperlink r:id="rId9">
        <w:r w:rsidR="00961823">
          <w:rPr>
            <w:rFonts w:ascii="Times New Roman" w:eastAsia="Times New Roman" w:hAnsi="Times New Roman" w:cs="Times New Roman"/>
            <w:color w:val="0000FF"/>
            <w:sz w:val="24"/>
            <w:szCs w:val="24"/>
            <w:u w:val="single"/>
          </w:rPr>
          <w:t>http://www.julkari.fi/bitstream/handle/10024/103051/2004b15.pdf?sequence=1</w:t>
        </w:r>
      </w:hyperlink>
      <w:r w:rsidR="00961823">
        <w:rPr>
          <w:rFonts w:ascii="Times New Roman" w:eastAsia="Times New Roman" w:hAnsi="Times New Roman" w:cs="Times New Roman"/>
          <w:sz w:val="24"/>
          <w:szCs w:val="24"/>
        </w:rPr>
        <w:t xml:space="preserve"> </w:t>
      </w:r>
    </w:p>
    <w:p w:rsidR="007004E8" w:rsidRDefault="00961823">
      <w:pPr>
        <w:numPr>
          <w:ilvl w:val="1"/>
          <w:numId w:val="2"/>
        </w:numPr>
        <w:spacing w:after="0" w:line="276"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tietoa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annoskoista</w:t>
      </w:r>
      <w:proofErr w:type="spellEnd"/>
    </w:p>
    <w:p w:rsidR="007004E8" w:rsidRDefault="00961823">
      <w:pPr>
        <w:numPr>
          <w:ilvl w:val="0"/>
          <w:numId w:val="2"/>
        </w:numPr>
        <w:spacing w:after="0" w:line="276"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www.ravitsemusneuvottelukunta.fi</w:t>
        </w:r>
      </w:hyperlink>
      <w:r>
        <w:rPr>
          <w:rFonts w:ascii="Times New Roman" w:eastAsia="Times New Roman" w:hAnsi="Times New Roman" w:cs="Times New Roman"/>
          <w:sz w:val="24"/>
          <w:szCs w:val="24"/>
        </w:rPr>
        <w:t xml:space="preserve"> </w:t>
      </w:r>
    </w:p>
    <w:p w:rsidR="007004E8" w:rsidRDefault="00961823">
      <w:pPr>
        <w:numPr>
          <w:ilvl w:val="1"/>
          <w:numId w:val="2"/>
        </w:numPr>
        <w:spacing w:after="200" w:line="276" w:lineRule="auto"/>
        <w:ind w:hanging="36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kouluruokasuositukset</w:t>
      </w:r>
      <w:proofErr w:type="spellEnd"/>
    </w:p>
    <w:p w:rsidR="007004E8" w:rsidRDefault="007004E8">
      <w:pPr>
        <w:spacing w:after="0" w:line="276" w:lineRule="auto"/>
        <w:jc w:val="both"/>
      </w:pPr>
    </w:p>
    <w:p w:rsidR="007004E8" w:rsidRPr="00DB0AD4" w:rsidRDefault="00961823">
      <w:pPr>
        <w:spacing w:after="0" w:line="276" w:lineRule="auto"/>
        <w:jc w:val="both"/>
        <w:rPr>
          <w:lang w:val="fi-FI"/>
        </w:rPr>
      </w:pPr>
      <w:r w:rsidRPr="00DB0AD4">
        <w:rPr>
          <w:rFonts w:ascii="Times New Roman" w:eastAsia="Times New Roman" w:hAnsi="Times New Roman" w:cs="Times New Roman"/>
          <w:sz w:val="24"/>
          <w:szCs w:val="24"/>
          <w:lang w:val="fi-FI"/>
        </w:rPr>
        <w:t>Lopuksi jokainen ryhmä kokoaa maksimissaan yhden A4-arkin pituisen raportin olennaisimmista eroista kouluruoan ja pikaruoan ravintoarvoissa. Mitä ravintoaineita saadaan paljon ja mitä vähän? Miten pikaruoka eroaa kouluruoasta? Raportissa on hyvä pohtia sitä, mitä oikeasti kannattaa syödä.</w:t>
      </w:r>
    </w:p>
    <w:p w:rsidR="007004E8" w:rsidRPr="00DB0AD4" w:rsidRDefault="007004E8">
      <w:pPr>
        <w:spacing w:after="0" w:line="276" w:lineRule="auto"/>
        <w:ind w:left="720"/>
        <w:jc w:val="both"/>
        <w:rPr>
          <w:lang w:val="fi-FI"/>
        </w:rPr>
      </w:pPr>
    </w:p>
    <w:p w:rsidR="007004E8" w:rsidRPr="00DB0AD4" w:rsidRDefault="00961823">
      <w:pPr>
        <w:spacing w:after="200" w:line="276" w:lineRule="auto"/>
        <w:jc w:val="both"/>
        <w:rPr>
          <w:i/>
          <w:lang w:val="fi-FI"/>
        </w:rPr>
      </w:pPr>
      <w:r w:rsidRPr="00DB0AD4">
        <w:rPr>
          <w:rFonts w:ascii="Times New Roman" w:eastAsia="Times New Roman" w:hAnsi="Times New Roman" w:cs="Times New Roman"/>
          <w:i/>
          <w:sz w:val="24"/>
          <w:szCs w:val="24"/>
          <w:lang w:val="fi-FI"/>
        </w:rPr>
        <w:t>Tulosten esittely</w:t>
      </w:r>
    </w:p>
    <w:p w:rsidR="007004E8" w:rsidRPr="00DB0AD4" w:rsidRDefault="00961823">
      <w:pPr>
        <w:spacing w:after="200" w:line="276" w:lineRule="auto"/>
        <w:jc w:val="both"/>
        <w:rPr>
          <w:lang w:val="fi-FI"/>
        </w:rPr>
      </w:pPr>
      <w:r w:rsidRPr="00DB0AD4">
        <w:rPr>
          <w:rFonts w:ascii="Times New Roman" w:eastAsia="Times New Roman" w:hAnsi="Times New Roman" w:cs="Times New Roman"/>
          <w:sz w:val="24"/>
          <w:szCs w:val="24"/>
          <w:lang w:val="fi-FI"/>
        </w:rPr>
        <w:t xml:space="preserve">Jokainen ryhmä kertoo lyhyesti muulle luokalle olennaisimmat tuloksensa sekä kouluruoan että pikaruoan ravintoarvoista. Mitä ravintoaineita saadaan paljon ja mitä vähän? Miten pikaruoka eroaa kouluruuasta? Esityksissä on hyvä pohtia sitä, mitä oikeasti kannattaa syödä. </w:t>
      </w:r>
    </w:p>
    <w:p w:rsidR="007004E8" w:rsidRPr="00DB0AD4" w:rsidRDefault="00961823">
      <w:pPr>
        <w:spacing w:after="200" w:line="276" w:lineRule="auto"/>
        <w:jc w:val="both"/>
        <w:rPr>
          <w:lang w:val="fi-FI"/>
        </w:rPr>
      </w:pPr>
      <w:r w:rsidRPr="00DB0AD4">
        <w:rPr>
          <w:rFonts w:ascii="Times New Roman" w:eastAsia="Times New Roman" w:hAnsi="Times New Roman" w:cs="Times New Roman"/>
          <w:sz w:val="24"/>
          <w:szCs w:val="24"/>
          <w:lang w:val="fi-FI"/>
        </w:rPr>
        <w:t xml:space="preserve">Esitysten lopuksi ryhmät palauttavat raportit taulukoineen opettajalle. </w:t>
      </w:r>
    </w:p>
    <w:p w:rsidR="007004E8" w:rsidRPr="00DB0AD4" w:rsidRDefault="00961823">
      <w:pPr>
        <w:spacing w:after="0" w:line="288" w:lineRule="auto"/>
        <w:jc w:val="both"/>
        <w:rPr>
          <w:i/>
          <w:lang w:val="fi-FI"/>
        </w:rPr>
      </w:pPr>
      <w:r w:rsidRPr="00DB0AD4">
        <w:rPr>
          <w:rFonts w:ascii="Times New Roman" w:eastAsia="Times New Roman" w:hAnsi="Times New Roman" w:cs="Times New Roman"/>
          <w:i/>
          <w:sz w:val="24"/>
          <w:szCs w:val="24"/>
          <w:lang w:val="fi-FI"/>
        </w:rPr>
        <w:t xml:space="preserve">Sovellus </w:t>
      </w:r>
    </w:p>
    <w:p w:rsidR="007004E8" w:rsidRPr="00DB0AD4" w:rsidRDefault="00961823">
      <w:pPr>
        <w:spacing w:after="0" w:line="288" w:lineRule="auto"/>
        <w:jc w:val="both"/>
        <w:rPr>
          <w:lang w:val="fi-FI"/>
        </w:rPr>
      </w:pPr>
      <w:r w:rsidRPr="00DB0AD4">
        <w:rPr>
          <w:rFonts w:ascii="Times New Roman" w:eastAsia="Times New Roman" w:hAnsi="Times New Roman" w:cs="Times New Roman"/>
          <w:sz w:val="24"/>
          <w:szCs w:val="24"/>
          <w:lang w:val="fi-FI"/>
        </w:rPr>
        <w:t xml:space="preserve">Taulukoihin on koottu vain esimerkkejä eri ravintoaineista. Niitä voi vaihtaa, lisätä tai vähentää. </w:t>
      </w:r>
    </w:p>
    <w:sectPr w:rsidR="007004E8" w:rsidRPr="00DB0A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A0B" w:rsidRDefault="00D00A0B">
      <w:pPr>
        <w:spacing w:after="0" w:line="240" w:lineRule="auto"/>
      </w:pPr>
      <w:r>
        <w:separator/>
      </w:r>
    </w:p>
  </w:endnote>
  <w:endnote w:type="continuationSeparator" w:id="0">
    <w:p w:rsidR="00D00A0B" w:rsidRDefault="00D0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B2" w:rsidRDefault="008C12B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8" w:rsidRDefault="00961823">
    <w:pPr>
      <w:tabs>
        <w:tab w:val="center" w:pos="4513"/>
        <w:tab w:val="right" w:pos="9026"/>
      </w:tabs>
      <w:spacing w:after="708" w:line="240" w:lineRule="auto"/>
      <w:jc w:val="right"/>
    </w:pPr>
    <w:r>
      <w:fldChar w:fldCharType="begin"/>
    </w:r>
    <w:r>
      <w:instrText>PAGE</w:instrText>
    </w:r>
    <w:r>
      <w:fldChar w:fldCharType="separate"/>
    </w:r>
    <w:r w:rsidR="00DB0AD4">
      <w:rPr>
        <w:noProof/>
      </w:rPr>
      <w:t>3</w:t>
    </w:r>
    <w:r>
      <w:fldChar w:fldCharType="end"/>
    </w:r>
  </w:p>
  <w:p w:rsidR="007004E8" w:rsidRDefault="00961823">
    <w:pPr>
      <w:tabs>
        <w:tab w:val="center" w:pos="4513"/>
        <w:tab w:val="right" w:pos="9026"/>
      </w:tabs>
      <w:spacing w:after="708" w:line="240" w:lineRule="auto"/>
    </w:pPr>
    <w:r>
      <w:rPr>
        <w:noProof/>
        <w:lang w:val="fi-FI" w:eastAsia="fi-FI"/>
      </w:rPr>
      <w:drawing>
        <wp:inline distT="0" distB="0" distL="0" distR="0">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3" name="image04.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4.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8" w:rsidRDefault="00961823">
    <w:pPr>
      <w:tabs>
        <w:tab w:val="center" w:pos="4513"/>
        <w:tab w:val="right" w:pos="9026"/>
      </w:tabs>
      <w:spacing w:after="708" w:line="240" w:lineRule="auto"/>
    </w:pPr>
    <w:r>
      <w:rPr>
        <w:noProof/>
        <w:lang w:val="fi-FI" w:eastAsia="fi-FI"/>
      </w:rPr>
      <w:drawing>
        <wp:inline distT="0" distB="0" distL="0" distR="0">
          <wp:extent cx="1237386" cy="766907"/>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4" name="image05.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5.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A0B" w:rsidRDefault="00D00A0B">
      <w:pPr>
        <w:spacing w:after="0" w:line="240" w:lineRule="auto"/>
      </w:pPr>
      <w:r>
        <w:separator/>
      </w:r>
    </w:p>
  </w:footnote>
  <w:footnote w:type="continuationSeparator" w:id="0">
    <w:p w:rsidR="00D00A0B" w:rsidRDefault="00D0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B2" w:rsidRDefault="008C12B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D4" w:rsidRPr="00DB0AD4" w:rsidRDefault="00DB0AD4">
    <w:pPr>
      <w:tabs>
        <w:tab w:val="center" w:pos="4513"/>
        <w:tab w:val="right" w:pos="9026"/>
      </w:tabs>
      <w:spacing w:before="708" w:after="0" w:line="240" w:lineRule="auto"/>
      <w:rPr>
        <w:color w:val="5B9BD5"/>
        <w:lang w:val="fi-FI"/>
      </w:rPr>
    </w:pPr>
    <w:r>
      <w:rPr>
        <w:color w:val="5B9BD5"/>
        <w:lang w:val="fi-FI"/>
      </w:rPr>
      <w:tab/>
    </w:r>
    <w:r>
      <w:rPr>
        <w:color w:val="5B9BD5"/>
        <w:lang w:val="fi-FI"/>
      </w:rPr>
      <w:tab/>
    </w:r>
    <w:r w:rsidRPr="00DB0AD4">
      <w:rPr>
        <w:color w:val="5B9BD5"/>
        <w:lang w:val="fi-FI"/>
      </w:rPr>
      <w:t>Opettajalle</w:t>
    </w:r>
    <w:r>
      <w:rPr>
        <w:color w:val="5B9BD5"/>
        <w:lang w:val="fi-FI"/>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8" w:rsidRPr="00DB0AD4" w:rsidRDefault="00961823">
    <w:pPr>
      <w:tabs>
        <w:tab w:val="center" w:pos="4513"/>
        <w:tab w:val="right" w:pos="9026"/>
      </w:tabs>
      <w:spacing w:before="708" w:after="0" w:line="240" w:lineRule="auto"/>
      <w:rPr>
        <w:lang w:val="fi-FI"/>
      </w:rPr>
    </w:pPr>
    <w:r w:rsidRPr="00DB0AD4">
      <w:rPr>
        <w:color w:val="5B9BD5"/>
        <w:lang w:val="fi-FI"/>
      </w:rPr>
      <w:t>Koostanut</w:t>
    </w:r>
    <w:r w:rsidR="00DB0AD4">
      <w:rPr>
        <w:color w:val="5B9BD5"/>
        <w:lang w:val="fi-FI"/>
      </w:rPr>
      <w:t xml:space="preserve"> </w:t>
    </w:r>
    <w:r w:rsidR="00DB0AD4" w:rsidRPr="00DB0AD4">
      <w:rPr>
        <w:color w:val="5B9BD5"/>
        <w:lang w:val="fi-FI"/>
      </w:rPr>
      <w:t>Anni Jyrinsalo</w:t>
    </w:r>
    <w:r w:rsidR="00DB0AD4">
      <w:rPr>
        <w:color w:val="5B9BD5"/>
        <w:lang w:val="fi-FI"/>
      </w:rPr>
      <w:t xml:space="preserve"> ja Elina Viro</w:t>
    </w:r>
    <w:r w:rsidRPr="00DB0AD4">
      <w:rPr>
        <w:color w:val="5B9BD5"/>
        <w:lang w:val="fi-FI"/>
      </w:rPr>
      <w:tab/>
    </w:r>
    <w:r w:rsidRPr="00DB0AD4">
      <w:rPr>
        <w:color w:val="5B9BD5"/>
        <w:lang w:val="fi-FI"/>
      </w:rPr>
      <w:tab/>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077"/>
    <w:multiLevelType w:val="multilevel"/>
    <w:tmpl w:val="0C56C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32B6B1E"/>
    <w:multiLevelType w:val="multilevel"/>
    <w:tmpl w:val="6C22CE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E7A4380"/>
    <w:multiLevelType w:val="multilevel"/>
    <w:tmpl w:val="81680D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0A544D6"/>
    <w:multiLevelType w:val="multilevel"/>
    <w:tmpl w:val="2B525D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E8"/>
    <w:rsid w:val="006A0E58"/>
    <w:rsid w:val="007004E8"/>
    <w:rsid w:val="00754E01"/>
    <w:rsid w:val="008C12B2"/>
    <w:rsid w:val="00961823"/>
    <w:rsid w:val="00984A61"/>
    <w:rsid w:val="00D00A0B"/>
    <w:rsid w:val="00DB0AD4"/>
    <w:rsid w:val="00FC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6CD07-7D16-41C1-B973-649551FA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0" w:line="240" w:lineRule="auto"/>
    </w:pPr>
    <w:rPr>
      <w:sz w:val="56"/>
      <w:szCs w:val="5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0" w:type="dxa"/>
        <w:right w:w="0" w:type="dxa"/>
      </w:tblCellMar>
    </w:tblPr>
  </w:style>
  <w:style w:type="paragraph" w:styleId="Yltunniste">
    <w:name w:val="header"/>
    <w:basedOn w:val="Normaali"/>
    <w:link w:val="YltunnisteChar"/>
    <w:uiPriority w:val="99"/>
    <w:unhideWhenUsed/>
    <w:rsid w:val="00DB0A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B0AD4"/>
  </w:style>
  <w:style w:type="paragraph" w:styleId="Alatunniste">
    <w:name w:val="footer"/>
    <w:basedOn w:val="Normaali"/>
    <w:link w:val="AlatunnisteChar"/>
    <w:uiPriority w:val="99"/>
    <w:unhideWhenUsed/>
    <w:rsid w:val="00DB0A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B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avintoaineopas.fi/inde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eli.f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avitsemusneuvottelukunta.fi" TargetMode="External"/><Relationship Id="rId4" Type="http://schemas.openxmlformats.org/officeDocument/2006/relationships/webSettings" Target="webSettings.xml"/><Relationship Id="rId9" Type="http://schemas.openxmlformats.org/officeDocument/2006/relationships/hyperlink" Target="http://www.julkari.fi/bitstream/handle/10024/103051/2004b15.pdf?sequence=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Räsänen, Jenni J</dc:creator>
  <cp:lastModifiedBy>Violet Hukki (TAU)</cp:lastModifiedBy>
  <cp:revision>2</cp:revision>
  <dcterms:created xsi:type="dcterms:W3CDTF">2020-03-23T11:35:00Z</dcterms:created>
  <dcterms:modified xsi:type="dcterms:W3CDTF">2020-03-23T11:35:00Z</dcterms:modified>
</cp:coreProperties>
</file>